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firstLine="297"/>
        <w:textAlignment w:val="center"/>
      </w:pPr>
      <w:r>
        <w:drawing>
          <wp:inline distT="0" distB="0" distL="0" distR="0">
            <wp:extent cx="2506345" cy="10160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2506979" cy="1016317"/>
                    </a:xfrm>
                    <a:prstGeom prst="rect">
                      <a:avLst/>
                    </a:prstGeom>
                  </pic:spPr>
                </pic:pic>
              </a:graphicData>
            </a:graphic>
          </wp:inline>
        </w:drawing>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39" w:line="438" w:lineRule="auto"/>
        <w:ind w:left="2107" w:right="1290" w:hanging="633"/>
        <w:jc w:val="center"/>
        <w:rPr>
          <w:rFonts w:hint="eastAsia" w:ascii="黑体" w:hAnsi="黑体" w:eastAsia="黑体" w:cs="黑体"/>
          <w:spacing w:val="9"/>
          <w:sz w:val="43"/>
          <w:szCs w:val="43"/>
          <w:lang w:val="en-US" w:eastAsia="zh-CN"/>
          <w14:textOutline w14:w="7972" w14:cap="sq" w14:cmpd="sng">
            <w14:solidFill>
              <w14:srgbClr w14:val="000000"/>
            </w14:solidFill>
            <w14:prstDash w14:val="solid"/>
            <w14:bevel/>
          </w14:textOutline>
        </w:rPr>
      </w:pPr>
      <w:r>
        <w:rPr>
          <w:rFonts w:hint="eastAsia" w:ascii="黑体" w:hAnsi="黑体" w:eastAsia="黑体" w:cs="黑体"/>
          <w:spacing w:val="9"/>
          <w:sz w:val="43"/>
          <w:szCs w:val="43"/>
          <w:lang w:val="en-US" w:eastAsia="zh-CN"/>
          <w14:textOutline w14:w="7972" w14:cap="sq" w14:cmpd="sng">
            <w14:solidFill>
              <w14:srgbClr w14:val="000000"/>
            </w14:solidFill>
            <w14:prstDash w14:val="solid"/>
            <w14:bevel/>
          </w14:textOutline>
        </w:rPr>
        <w:t>综合公司</w:t>
      </w:r>
    </w:p>
    <w:p>
      <w:pPr>
        <w:spacing w:before="139" w:line="438" w:lineRule="auto"/>
        <w:ind w:left="2107" w:right="1290" w:hanging="633"/>
        <w:jc w:val="center"/>
        <w:rPr>
          <w:rFonts w:hint="default" w:eastAsia="黑体"/>
          <w:lang w:val="en-US" w:eastAsia="zh-CN"/>
        </w:rPr>
        <w:sectPr>
          <w:footerReference r:id="rId5" w:type="default"/>
          <w:pgSz w:w="11907" w:h="16840"/>
          <w:pgMar w:top="919" w:right="1352" w:bottom="3090" w:left="1197" w:header="0" w:footer="794" w:gutter="0"/>
          <w:cols w:space="720" w:num="1"/>
        </w:sectPr>
      </w:pPr>
      <w:r>
        <w:rPr>
          <w:rFonts w:ascii="黑体" w:hAnsi="黑体" w:eastAsia="黑体" w:cs="黑体"/>
          <w:spacing w:val="11"/>
          <w:sz w:val="43"/>
          <w:szCs w:val="43"/>
          <w14:textOutline w14:w="7972" w14:cap="sq" w14:cmpd="sng">
            <w14:solidFill>
              <w14:srgbClr w14:val="000000"/>
            </w14:solidFill>
            <w14:prstDash w14:val="solid"/>
            <w14:bevel/>
          </w14:textOutline>
        </w:rPr>
        <w:t>突发环境</w:t>
      </w:r>
      <w:r>
        <w:rPr>
          <w:rFonts w:hint="eastAsia" w:ascii="黑体" w:hAnsi="黑体" w:eastAsia="黑体" w:cs="黑体"/>
          <w:spacing w:val="11"/>
          <w:sz w:val="43"/>
          <w:szCs w:val="43"/>
          <w:lang w:val="en-US" w:eastAsia="zh-CN"/>
          <w14:textOutline w14:w="7972" w14:cap="sq" w14:cmpd="sng">
            <w14:solidFill>
              <w14:srgbClr w14:val="000000"/>
            </w14:solidFill>
            <w14:prstDash w14:val="solid"/>
            <w14:bevel/>
          </w14:textOutline>
        </w:rPr>
        <w:t>污染</w:t>
      </w:r>
      <w:r>
        <w:rPr>
          <w:rFonts w:ascii="黑体" w:hAnsi="黑体" w:eastAsia="黑体" w:cs="黑体"/>
          <w:spacing w:val="11"/>
          <w:sz w:val="43"/>
          <w:szCs w:val="43"/>
          <w14:textOutline w14:w="7972" w14:cap="sq" w14:cmpd="sng">
            <w14:solidFill>
              <w14:srgbClr w14:val="000000"/>
            </w14:solidFill>
            <w14:prstDash w14:val="solid"/>
            <w14:bevel/>
          </w14:textOutline>
        </w:rPr>
        <w:t>事件</w:t>
      </w:r>
      <w:r>
        <w:rPr>
          <w:rFonts w:hint="eastAsia" w:ascii="黑体" w:hAnsi="黑体" w:eastAsia="黑体" w:cs="黑体"/>
          <w:spacing w:val="11"/>
          <w:sz w:val="43"/>
          <w:szCs w:val="43"/>
          <w:lang w:val="en-US" w:eastAsia="zh-CN"/>
          <w14:textOutline w14:w="7972" w14:cap="sq" w14:cmpd="sng">
            <w14:solidFill>
              <w14:srgbClr w14:val="000000"/>
            </w14:solidFill>
            <w14:prstDash w14:val="solid"/>
            <w14:bevel/>
          </w14:textOutline>
        </w:rPr>
        <w:t>现场处置方案</w:t>
      </w:r>
    </w:p>
    <w:p>
      <w:pPr>
        <w:spacing w:line="341" w:lineRule="auto"/>
      </w:pPr>
    </w:p>
    <w:p>
      <w:pPr>
        <w:spacing w:line="262" w:lineRule="auto"/>
        <w:rPr>
          <w:rFonts w:ascii="Arial"/>
          <w:sz w:val="21"/>
        </w:rPr>
      </w:pPr>
    </w:p>
    <w:p>
      <w:pPr>
        <w:widowControl/>
        <w:numPr>
          <w:ilvl w:val="1"/>
          <w:numId w:val="1"/>
        </w:numPr>
        <w:spacing w:before="156" w:beforeLines="50" w:line="360" w:lineRule="auto"/>
        <w:jc w:val="left"/>
        <w:textAlignment w:val="center"/>
        <w:outlineLvl w:val="1"/>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pPr>
      <w:bookmarkStart w:id="0" w:name="_bookmark7"/>
      <w:bookmarkEnd w:id="0"/>
      <w:bookmarkStart w:id="1" w:name="_bookmark1"/>
      <w:bookmarkEnd w:id="1"/>
      <w:bookmarkStart w:id="2" w:name="_Toc7830"/>
      <w:bookmarkStart w:id="3" w:name="_Toc29604"/>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事故风险描述</w:t>
      </w:r>
      <w:bookmarkEnd w:id="2"/>
      <w:bookmarkEnd w:id="3"/>
    </w:p>
    <w:p>
      <w:pPr>
        <w:spacing w:before="2" w:line="333" w:lineRule="auto"/>
        <w:ind w:firstLine="660" w:firstLineChars="200"/>
        <w:rPr>
          <w:rFonts w:hint="default"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污水管道破裂或</w:t>
      </w:r>
      <w:r>
        <w:rPr>
          <w:rFonts w:hint="eastAsia" w:ascii="仿宋" w:hAnsi="仿宋" w:eastAsia="仿宋" w:cs="仿宋"/>
          <w:spacing w:val="10"/>
          <w:sz w:val="31"/>
          <w:szCs w:val="31"/>
          <w:lang w:val="zh-CN" w:eastAsia="zh-CN"/>
        </w:rPr>
        <w:t>在</w:t>
      </w:r>
      <w:r>
        <w:rPr>
          <w:rFonts w:hint="eastAsia" w:ascii="仿宋" w:hAnsi="仿宋" w:eastAsia="仿宋" w:cs="仿宋"/>
          <w:spacing w:val="10"/>
          <w:sz w:val="31"/>
          <w:szCs w:val="31"/>
          <w:lang w:val="en-US" w:eastAsia="zh-CN"/>
        </w:rPr>
        <w:t>污水、垃圾、灰渣清运过程</w:t>
      </w:r>
      <w:r>
        <w:rPr>
          <w:rFonts w:hint="eastAsia" w:ascii="仿宋" w:hAnsi="仿宋" w:eastAsia="仿宋" w:cs="仿宋"/>
          <w:spacing w:val="10"/>
          <w:sz w:val="31"/>
          <w:szCs w:val="31"/>
          <w:lang w:val="zh-CN" w:eastAsia="zh-CN"/>
        </w:rPr>
        <w:t>中，因</w:t>
      </w:r>
      <w:r>
        <w:rPr>
          <w:rFonts w:hint="eastAsia" w:ascii="仿宋" w:hAnsi="仿宋" w:eastAsia="仿宋" w:cs="仿宋"/>
          <w:spacing w:val="10"/>
          <w:sz w:val="31"/>
          <w:szCs w:val="31"/>
          <w:lang w:val="en-US" w:eastAsia="zh-CN"/>
        </w:rPr>
        <w:t>拉运车辆损坏、清运不及时、清运途中泄漏洒落</w:t>
      </w:r>
      <w:r>
        <w:rPr>
          <w:rFonts w:hint="eastAsia" w:ascii="仿宋" w:hAnsi="仿宋" w:eastAsia="仿宋" w:cs="仿宋"/>
          <w:spacing w:val="10"/>
          <w:sz w:val="31"/>
          <w:szCs w:val="31"/>
          <w:lang w:val="zh-CN" w:eastAsia="zh-CN"/>
        </w:rPr>
        <w:t>、</w:t>
      </w:r>
      <w:r>
        <w:rPr>
          <w:rFonts w:hint="eastAsia" w:ascii="仿宋" w:hAnsi="仿宋" w:eastAsia="仿宋" w:cs="仿宋"/>
          <w:spacing w:val="10"/>
          <w:sz w:val="31"/>
          <w:szCs w:val="31"/>
          <w:lang w:val="en-US" w:eastAsia="zh-CN"/>
        </w:rPr>
        <w:t>未清运至指定地点</w:t>
      </w:r>
      <w:r>
        <w:rPr>
          <w:rFonts w:hint="eastAsia" w:ascii="仿宋" w:hAnsi="仿宋" w:eastAsia="仿宋" w:cs="仿宋"/>
          <w:spacing w:val="10"/>
          <w:sz w:val="31"/>
          <w:szCs w:val="31"/>
          <w:lang w:val="zh-CN" w:eastAsia="zh-CN"/>
        </w:rPr>
        <w:t>和在不良自然环境（高温、高湿、低温、大风天等）下，</w:t>
      </w:r>
      <w:r>
        <w:rPr>
          <w:rFonts w:hint="eastAsia" w:ascii="仿宋" w:hAnsi="仿宋" w:eastAsia="仿宋" w:cs="仿宋"/>
          <w:spacing w:val="10"/>
          <w:sz w:val="31"/>
          <w:szCs w:val="31"/>
          <w:lang w:val="en-US" w:eastAsia="zh-CN"/>
        </w:rPr>
        <w:t>造成环境污染，人体健康危害等不良影响的突发性事件。</w:t>
      </w:r>
    </w:p>
    <w:p>
      <w:pPr>
        <w:widowControl/>
        <w:numPr>
          <w:ilvl w:val="1"/>
          <w:numId w:val="1"/>
        </w:numPr>
        <w:spacing w:before="156" w:beforeLines="50" w:line="360" w:lineRule="auto"/>
        <w:jc w:val="left"/>
        <w:textAlignment w:val="center"/>
        <w:outlineLvl w:val="1"/>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pPr>
      <w:bookmarkStart w:id="4" w:name="_Toc69"/>
      <w:bookmarkStart w:id="5" w:name="_Toc4732"/>
      <w:bookmarkStart w:id="6" w:name="_Toc19343"/>
      <w:bookmarkStart w:id="7" w:name="_Toc21267"/>
      <w:bookmarkStart w:id="8" w:name="_Toc11163"/>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应急工作职责</w:t>
      </w:r>
      <w:bookmarkEnd w:id="4"/>
      <w:bookmarkEnd w:id="5"/>
      <w:bookmarkEnd w:id="6"/>
      <w:bookmarkEnd w:id="7"/>
      <w:bookmarkEnd w:id="8"/>
    </w:p>
    <w:p>
      <w:pPr>
        <w:spacing w:before="2" w:line="333" w:lineRule="auto"/>
        <w:ind w:firstLine="660" w:firstLineChars="200"/>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除参照综合公司生产安全事故综合应急预案应急组织机构及职责的内容外，先期现场应急处置主要由基层单位负责人和作业人员或现场其他人员完成。</w:t>
      </w:r>
    </w:p>
    <w:p>
      <w:pPr>
        <w:spacing w:before="2" w:line="333" w:lineRule="auto"/>
        <w:ind w:firstLine="660" w:firstLineChars="200"/>
        <w:rPr>
          <w:rFonts w:hint="default"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基层单位负责人：负责先期环境污染事件现场应急处置和指挥，了解、掌握事件现场情况，及时向上级汇报；当有人员伤亡时，及时拨打120与属地急救中心取得联系。</w:t>
      </w:r>
    </w:p>
    <w:p>
      <w:pPr>
        <w:spacing w:before="2" w:line="333" w:lineRule="auto"/>
        <w:ind w:firstLine="660" w:firstLineChars="200"/>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作业人员或现场其他人员：听从基层单位负责人指挥，及时落实基层单位负责人下达的指令。</w:t>
      </w:r>
    </w:p>
    <w:p>
      <w:pPr>
        <w:spacing w:before="292" w:line="220" w:lineRule="auto"/>
        <w:ind w:firstLine="5"/>
        <w:outlineLvl w:val="1"/>
        <w:rPr>
          <w:rFonts w:ascii="楷体" w:hAnsi="楷体" w:eastAsia="楷体" w:cs="楷体"/>
          <w:spacing w:val="-2"/>
          <w:sz w:val="31"/>
          <w:szCs w:val="31"/>
        </w:rPr>
      </w:pPr>
    </w:p>
    <w:p>
      <w:pPr>
        <w:widowControl/>
        <w:numPr>
          <w:ilvl w:val="1"/>
          <w:numId w:val="1"/>
        </w:numPr>
        <w:spacing w:before="156" w:beforeLines="50" w:line="360" w:lineRule="auto"/>
        <w:jc w:val="left"/>
        <w:textAlignment w:val="center"/>
        <w:outlineLvl w:val="1"/>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pPr>
      <w:bookmarkStart w:id="9" w:name="_bookmark8"/>
      <w:bookmarkEnd w:id="9"/>
      <w:bookmarkStart w:id="10" w:name="_bookmark18"/>
      <w:bookmarkEnd w:id="10"/>
      <w:bookmarkStart w:id="11" w:name="_Toc17446"/>
      <w:bookmarkStart w:id="12" w:name="_Toc13695"/>
      <w:bookmarkStart w:id="13" w:name="_Toc18910"/>
      <w:bookmarkStart w:id="14" w:name="_Toc28311"/>
      <w:bookmarkStart w:id="15" w:name="_Toc2421"/>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应急处置</w:t>
      </w:r>
      <w:bookmarkEnd w:id="11"/>
      <w:bookmarkEnd w:id="12"/>
      <w:bookmarkEnd w:id="13"/>
      <w:bookmarkEnd w:id="14"/>
      <w:bookmarkEnd w:id="15"/>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1.3.1现场安全控制</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（1）设置警戒线，限制无关人员进入，确保现场安全。</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（2）配备必要的个人防护装备，确保应急处置人员的人身安全。</w:t>
      </w:r>
    </w:p>
    <w:p>
      <w:pPr>
        <w:spacing w:before="2" w:line="333" w:lineRule="auto"/>
        <w:ind w:left="21" w:firstLine="484"/>
        <w:rPr>
          <w:rFonts w:hint="default"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（3）加强现场通风，降低有毒有害气体浓度，减少二次污染风险。</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1.3.2污染源快速切断</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（1）迅速关闭污染源，如污水管道、垃圾堆放点等，防止污染物继续扩散。</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（2）采用物理、化学或生物方法，对泄漏的污染物进行快速吸附、中和或降解。</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1.3.3应急资源调配</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（1）根据事件规模和处置需求，及时调配应急物资、设备和人员。</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（2）加强与相关部门的沟通协调，实现资源共享和协同应对。</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1.3.4污染物处置与清理</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（1）采用合适的处理技术，对污染物进行无害化处理，如焚烧、填埋等。</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（2）对污染区域进行彻底清理，确保无残留污染物。</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（3）对处理过程中产生的二次污染物进行妥善处理，防止二次污染。</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1.3.5后期恢复与重建</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（1）对受损环境进行修复和重建，恢复其生态功能。</w:t>
      </w:r>
    </w:p>
    <w:p>
      <w:pPr>
        <w:spacing w:before="2" w:line="333" w:lineRule="auto"/>
        <w:ind w:left="21" w:firstLine="484"/>
        <w:rPr>
          <w:rFonts w:hint="default"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（2）加强环境设施监管，防止类似事件再次发生。</w:t>
      </w:r>
    </w:p>
    <w:p>
      <w:pPr>
        <w:widowControl/>
        <w:numPr>
          <w:ilvl w:val="1"/>
          <w:numId w:val="1"/>
        </w:numPr>
        <w:spacing w:before="156" w:beforeLines="50" w:line="360" w:lineRule="auto"/>
        <w:jc w:val="left"/>
        <w:textAlignment w:val="center"/>
        <w:outlineLvl w:val="1"/>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pPr>
      <w:bookmarkStart w:id="16" w:name="_bookmark21"/>
      <w:bookmarkEnd w:id="16"/>
      <w:bookmarkStart w:id="17" w:name="_Toc20349"/>
      <w:bookmarkStart w:id="18" w:name="_Toc24038"/>
      <w:bookmarkStart w:id="19" w:name="_Toc21856"/>
      <w:bookmarkStart w:id="20" w:name="_Toc4373"/>
      <w:bookmarkStart w:id="21" w:name="_Toc22864"/>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注意事项</w:t>
      </w:r>
      <w:bookmarkEnd w:id="17"/>
      <w:bookmarkEnd w:id="18"/>
      <w:bookmarkEnd w:id="19"/>
      <w:bookmarkEnd w:id="20"/>
      <w:bookmarkEnd w:id="21"/>
    </w:p>
    <w:p>
      <w:pPr>
        <w:spacing w:before="2" w:line="333" w:lineRule="auto"/>
        <w:ind w:left="21" w:firstLine="484"/>
        <w:rPr>
          <w:rFonts w:hint="default"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w:t>
      </w:r>
      <w:r>
        <w:rPr>
          <w:rFonts w:hint="default" w:ascii="仿宋" w:hAnsi="仿宋" w:eastAsia="仿宋" w:cs="仿宋"/>
          <w:spacing w:val="10"/>
          <w:sz w:val="31"/>
          <w:szCs w:val="31"/>
          <w:lang w:val="en-US" w:eastAsia="zh-CN"/>
        </w:rPr>
        <w:t>1</w:t>
      </w:r>
      <w:r>
        <w:rPr>
          <w:rFonts w:hint="eastAsia" w:ascii="仿宋" w:hAnsi="仿宋" w:eastAsia="仿宋" w:cs="仿宋"/>
          <w:spacing w:val="10"/>
          <w:sz w:val="31"/>
          <w:szCs w:val="31"/>
          <w:lang w:val="en-US" w:eastAsia="zh-CN"/>
        </w:rPr>
        <w:t>）加强对员工的环境污染事件的现场应急处置培训，进一步提高员工应急处置能力。</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w:t>
      </w:r>
      <w:r>
        <w:rPr>
          <w:rFonts w:hint="default" w:ascii="仿宋" w:hAnsi="仿宋" w:eastAsia="仿宋" w:cs="仿宋"/>
          <w:spacing w:val="10"/>
          <w:sz w:val="31"/>
          <w:szCs w:val="31"/>
          <w:lang w:val="en-US" w:eastAsia="zh-CN"/>
        </w:rPr>
        <w:t>2</w:t>
      </w:r>
      <w:r>
        <w:rPr>
          <w:rFonts w:hint="eastAsia" w:ascii="仿宋" w:hAnsi="仿宋" w:eastAsia="仿宋" w:cs="仿宋"/>
          <w:spacing w:val="10"/>
          <w:sz w:val="31"/>
          <w:szCs w:val="31"/>
          <w:lang w:val="en-US" w:eastAsia="zh-CN"/>
        </w:rPr>
        <w:t>）参加应急处置救援、救护人员要严格执行规章制度、作业标准、操作规程。</w:t>
      </w:r>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（3）备齐必要的应急救援物资。</w:t>
      </w:r>
      <w:bookmarkStart w:id="22" w:name="_bookmark26"/>
      <w:bookmarkEnd w:id="22"/>
      <w:bookmarkStart w:id="23" w:name="_bookmark27"/>
      <w:bookmarkEnd w:id="23"/>
    </w:p>
    <w:p>
      <w:pPr>
        <w:spacing w:before="2" w:line="333" w:lineRule="auto"/>
        <w:ind w:left="21" w:firstLine="484"/>
        <w:rPr>
          <w:rFonts w:hint="eastAsia"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（4）注意疏散无关人员至警戒区外，在上风处停留，切勿进入低洼处，进入密闭空间之前必须先通风。</w:t>
      </w:r>
    </w:p>
    <w:p>
      <w:pPr>
        <w:spacing w:before="2" w:line="333" w:lineRule="auto"/>
        <w:ind w:left="21" w:firstLine="484"/>
        <w:rPr>
          <w:rFonts w:hint="default" w:ascii="仿宋" w:hAnsi="仿宋" w:eastAsia="仿宋" w:cs="仿宋"/>
          <w:spacing w:val="10"/>
          <w:sz w:val="31"/>
          <w:szCs w:val="31"/>
          <w:lang w:val="en-US" w:eastAsia="zh-CN"/>
        </w:rPr>
      </w:pPr>
      <w:r>
        <w:rPr>
          <w:rFonts w:hint="eastAsia" w:ascii="仿宋" w:hAnsi="仿宋" w:eastAsia="仿宋" w:cs="仿宋"/>
          <w:spacing w:val="10"/>
          <w:sz w:val="31"/>
          <w:szCs w:val="31"/>
          <w:lang w:val="en-US" w:eastAsia="zh-CN"/>
        </w:rPr>
        <w:t>（5）突发性环境污染事件应急处理工作结束后，应组织相关部门、单位认真总</w:t>
      </w:r>
      <w:bookmarkStart w:id="29" w:name="_GoBack"/>
      <w:bookmarkEnd w:id="29"/>
      <w:r>
        <w:rPr>
          <w:rFonts w:hint="eastAsia" w:ascii="仿宋" w:hAnsi="仿宋" w:eastAsia="仿宋" w:cs="仿宋"/>
          <w:spacing w:val="10"/>
          <w:sz w:val="31"/>
          <w:szCs w:val="31"/>
          <w:lang w:val="en-US" w:eastAsia="zh-CN"/>
        </w:rPr>
        <w:t>结、分析、吸取事件教训，及时进行整改。         （6）如需进行动土或有限空间等其他作业，参照相关作业现场处置方案</w:t>
      </w:r>
    </w:p>
    <w:p>
      <w:pPr>
        <w:pStyle w:val="2"/>
        <w:rPr>
          <w:rFonts w:hint="eastAsia"/>
          <w:lang w:val="en-US" w:eastAsia="zh-CN"/>
        </w:rPr>
      </w:pPr>
    </w:p>
    <w:p>
      <w:bookmarkStart w:id="24" w:name="_bookmark39"/>
      <w:bookmarkEnd w:id="24"/>
      <w:bookmarkStart w:id="25" w:name="_bookmark31"/>
      <w:bookmarkEnd w:id="25"/>
      <w:bookmarkStart w:id="26" w:name="_bookmark34"/>
      <w:bookmarkEnd w:id="26"/>
    </w:p>
    <w:p>
      <w:r>
        <w:pict>
          <v:shape id="_x0000_s1672" o:spid="_x0000_s1672" o:spt="202" type="#_x0000_t202" style="position:absolute;left:0pt;margin-left:268.35pt;margin-top:77.65pt;height:14.45pt;width:7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229" w:lineRule="auto"/>
                    <w:ind w:firstLine="20"/>
                    <w:rPr>
                      <w:rFonts w:ascii="仿宋" w:hAnsi="仿宋" w:eastAsia="仿宋" w:cs="仿宋"/>
                      <w:sz w:val="20"/>
                      <w:szCs w:val="20"/>
                    </w:rPr>
                  </w:pPr>
                </w:p>
              </w:txbxContent>
            </v:textbox>
          </v:shape>
        </w:pict>
      </w:r>
      <w:r>
        <w:pict>
          <v:shape id="_x0000_s1673" o:spid="_x0000_s1673" o:spt="202" type="#_x0000_t202" style="position:absolute;left:0pt;margin-left:353pt;margin-top:77.65pt;height:14.6pt;width:22.05pt;mso-position-horizontal-relative:page;mso-position-vertical-relative:page;z-index:251661312;mso-width-relative:page;mso-height-relative:page;" filled="f" stroked="f" coordsize="21600,21600" o:allowincell="f">
            <v:path/>
            <v:fill on="f" focussize="0,0"/>
            <v:stroke on="f"/>
            <v:imagedata o:title=""/>
            <o:lock v:ext="edit" aspectratio="f"/>
            <v:textbox inset="0mm,0mm,0mm,0mm">
              <w:txbxContent>
                <w:p>
                  <w:pPr>
                    <w:spacing w:before="20" w:line="232" w:lineRule="auto"/>
                    <w:ind w:firstLine="20"/>
                    <w:rPr>
                      <w:rFonts w:ascii="仿宋" w:hAnsi="仿宋" w:eastAsia="仿宋" w:cs="仿宋"/>
                      <w:sz w:val="20"/>
                      <w:szCs w:val="20"/>
                    </w:rPr>
                  </w:pPr>
                </w:p>
              </w:txbxContent>
            </v:textbox>
          </v:shape>
        </w:pict>
      </w:r>
      <w:bookmarkStart w:id="27" w:name="_bookmark60"/>
      <w:bookmarkEnd w:id="27"/>
      <w:bookmarkStart w:id="28" w:name="_bookmark40"/>
      <w:bookmarkEnd w:id="28"/>
    </w:p>
    <w:sectPr>
      <w:headerReference r:id="rId6" w:type="default"/>
      <w:footerReference r:id="rId7" w:type="default"/>
      <w:pgSz w:w="11906" w:h="16839"/>
      <w:pgMar w:top="1157" w:right="1587" w:bottom="1156" w:left="1588" w:header="882" w:footer="10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88" w:line="55" w:lineRule="exact"/>
      <w:textAlignment w:val="center"/>
    </w:pPr>
  </w:p>
  <w:p>
    <w:pPr>
      <w:spacing w:line="240" w:lineRule="auto"/>
      <w:ind w:firstLine="0"/>
      <w:rPr>
        <w:rFonts w:ascii="仿宋" w:hAnsi="仿宋" w:eastAsia="仿宋" w:cs="仿宋"/>
        <w:sz w:val="31"/>
        <w:szCs w:val="31"/>
      </w:rPr>
    </w:pPr>
    <w:r>
      <w:drawing>
        <wp:inline distT="0" distB="0" distL="0" distR="0">
          <wp:extent cx="5941060" cy="34925"/>
          <wp:effectExtent l="0" t="0" r="2540" b="3175"/>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5941111" cy="3555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331"/>
      <w:rPr>
        <w:rFonts w:ascii="Times New Roman" w:hAnsi="Times New Roman" w:eastAsia="Times New Roman" w:cs="Times New Roman"/>
        <w:sz w:val="17"/>
        <w:szCs w:val="17"/>
      </w:rPr>
    </w:pPr>
    <w:r>
      <w:rPr>
        <w:rFonts w:ascii="Times New Roman" w:hAnsi="Times New Roman" w:eastAsia="Times New Roman" w:cs="Times New Roman"/>
        <w:position w:val="-2"/>
        <w:sz w:val="17"/>
        <w:szCs w:val="17"/>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firstLine="1138"/>
      <w:rPr>
        <w:rFonts w:ascii="宋体" w:hAnsi="宋体" w:eastAsia="宋体" w:cs="宋体"/>
        <w:sz w:val="20"/>
        <w:szCs w:val="20"/>
      </w:rPr>
    </w:pPr>
    <w:r>
      <w:pict>
        <v:shape id="_x0000_s2211" o:spid="_x0000_s2211" style="position:absolute;left:0pt;margin-left:79.4pt;margin-top:57.15pt;height:0.75pt;width:436.55pt;mso-position-horizontal-relative:page;mso-position-vertical-relative:page;z-index:251659264;mso-width-relative:page;mso-height-relative:page;" fillcolor="#000000" filled="t" stroked="f" coordsize="8730,15" o:allowincell="f" path="m0,0l8730,0,8730,14,0,14,0,0e">
          <v:path/>
          <v:fill on="t" focussize="0,0"/>
          <v:stroke on="f"/>
          <v:imagedata o:title=""/>
          <o:lock v:ext="edit"/>
        </v:shape>
      </w:pict>
    </w:r>
    <w:r>
      <w:rPr>
        <w:rFonts w:hint="eastAsia" w:ascii="宋体" w:hAnsi="宋体" w:eastAsia="宋体" w:cs="宋体"/>
        <w:spacing w:val="9"/>
        <w:sz w:val="20"/>
        <w:szCs w:val="20"/>
        <w:lang w:eastAsia="zh-CN"/>
      </w:rPr>
      <w:t>综合服务分公司综合服务分公司</w:t>
    </w:r>
    <w:r>
      <w:rPr>
        <w:rFonts w:ascii="宋体" w:hAnsi="宋体" w:eastAsia="宋体" w:cs="宋体"/>
        <w:spacing w:val="9"/>
        <w:sz w:val="20"/>
        <w:szCs w:val="20"/>
      </w:rPr>
      <w:t>突发环境事件综合应急预案编制说明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D742F"/>
    <w:multiLevelType w:val="multilevel"/>
    <w:tmpl w:val="3DCD742F"/>
    <w:lvl w:ilvl="0" w:tentative="0">
      <w:start w:val="1"/>
      <w:numFmt w:val="decimal"/>
      <w:lvlText w:val="%1."/>
      <w:lvlJc w:val="left"/>
      <w:pPr>
        <w:ind w:left="425" w:hanging="425"/>
      </w:pPr>
      <w:rPr>
        <w:rFonts w:hint="default"/>
      </w:rPr>
    </w:lvl>
    <w:lvl w:ilvl="1" w:tentative="0">
      <w:start w:val="1"/>
      <w:numFmt w:val="decimal"/>
      <w:suff w:val="nothing"/>
      <w:lvlText w:val="%1.%2 "/>
      <w:lvlJc w:val="left"/>
      <w:pPr>
        <w:tabs>
          <w:tab w:val="left" w:pos="420"/>
        </w:tabs>
        <w:ind w:left="0" w:firstLine="0"/>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61662C"/>
    <w:rsid w:val="11974973"/>
    <w:rsid w:val="17F86095"/>
    <w:rsid w:val="1AC26ED2"/>
    <w:rsid w:val="2173221E"/>
    <w:rsid w:val="22F3459D"/>
    <w:rsid w:val="27B43DF0"/>
    <w:rsid w:val="32E7138A"/>
    <w:rsid w:val="47CC5760"/>
    <w:rsid w:val="53CC6062"/>
    <w:rsid w:val="65405545"/>
    <w:rsid w:val="7FE10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p0"/>
    <w:next w:val="3"/>
    <w:qFormat/>
    <w:uiPriority w:val="0"/>
    <w:rPr>
      <w:rFonts w:ascii="Times New Roman" w:hAnsi="Times New Roman" w:eastAsia="宋体" w:cs="Times New Roman"/>
      <w:sz w:val="21"/>
      <w:szCs w:val="21"/>
      <w:lang w:val="en-US" w:eastAsia="zh-CN" w:bidi="ar-SA"/>
    </w:rPr>
  </w:style>
  <w:style w:type="paragraph" w:styleId="3">
    <w:name w:val="Balloon Text"/>
    <w:basedOn w:val="1"/>
    <w:next w:val="4"/>
    <w:qFormat/>
    <w:uiPriority w:val="0"/>
    <w:pPr>
      <w:widowControl w:val="0"/>
      <w:autoSpaceDE w:val="0"/>
      <w:autoSpaceDN w:val="0"/>
      <w:spacing w:before="0" w:after="0" w:line="560" w:lineRule="exact"/>
      <w:ind w:left="0" w:right="0" w:firstLine="200" w:firstLineChars="200"/>
      <w:jc w:val="both"/>
    </w:pPr>
    <w:rPr>
      <w:rFonts w:ascii="仿宋_GB2312" w:hAnsi="Times New Roman" w:eastAsia="仿宋_GB2312" w:cs="仿宋_GB2312"/>
      <w:kern w:val="2"/>
      <w:sz w:val="18"/>
      <w:szCs w:val="22"/>
      <w:lang w:val="zh-CN" w:eastAsia="zh-CN" w:bidi="zh-CN"/>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211"/>
    <customShpInfo spid="_x0000_s1672"/>
    <customShpInfo spid="_x0000_s16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17655</Words>
  <Characters>18399</Characters>
  <TotalTime>49</TotalTime>
  <ScaleCrop>false</ScaleCrop>
  <LinksUpToDate>false</LinksUpToDate>
  <CharactersWithSpaces>19505</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2022-08-24T15:32:00Z</dcterms:created>
  <dc:creator>WZ</dc:creator>
  <cp:lastModifiedBy>11840</cp:lastModifiedBy>
  <dcterms:modified xsi:type="dcterms:W3CDTF">2024-06-13T07:43:30Z</dcterms:modified>
  <dc:title>1、前言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2023-03-11T14:57:43Z</vt:filetime>
  </property>
  <property fmtid="{D5CDD505-2E9C-101B-9397-08002B2CF9AE}" pid="4" name="KSOProductBuildVer">
    <vt:lpwstr>2052-11.8.2.11716</vt:lpwstr>
  </property>
  <property fmtid="{D5CDD505-2E9C-101B-9397-08002B2CF9AE}" pid="5" name="ICV">
    <vt:lpwstr>DA50CB01C5F3466882340DDA9CF0DA9B</vt:lpwstr>
  </property>
</Properties>
</file>